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02" w:rsidRPr="00D03302" w:rsidRDefault="00D03302" w:rsidP="00D03302">
      <w:pPr>
        <w:jc w:val="center"/>
        <w:rPr>
          <w:rFonts w:ascii="Times New Roman" w:hAnsi="Times New Roman" w:cs="Times New Roman"/>
          <w:b/>
        </w:rPr>
      </w:pPr>
      <w:r w:rsidRPr="00D03302">
        <w:rPr>
          <w:rFonts w:ascii="Times New Roman" w:hAnsi="Times New Roman" w:cs="Times New Roman"/>
          <w:b/>
        </w:rPr>
        <w:t>Zagadnienia na rozmowę kwalifikacyjna</w:t>
      </w:r>
    </w:p>
    <w:p w:rsidR="00D03302" w:rsidRPr="00D03302" w:rsidRDefault="00D03302" w:rsidP="00D03302">
      <w:pPr>
        <w:jc w:val="center"/>
        <w:rPr>
          <w:rFonts w:ascii="Times New Roman" w:hAnsi="Times New Roman" w:cs="Times New Roman"/>
          <w:b/>
        </w:rPr>
      </w:pPr>
      <w:r w:rsidRPr="00D03302">
        <w:rPr>
          <w:rFonts w:ascii="Times New Roman" w:hAnsi="Times New Roman" w:cs="Times New Roman"/>
          <w:b/>
        </w:rPr>
        <w:t>II stopień Finanse i rachunkowość</w:t>
      </w:r>
    </w:p>
    <w:p w:rsidR="00D03302" w:rsidRDefault="00D03302" w:rsidP="00D03302">
      <w:pPr>
        <w:rPr>
          <w:rFonts w:ascii="Times New Roman" w:hAnsi="Times New Roman" w:cs="Times New Roman"/>
        </w:rPr>
      </w:pP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1.1 Organizacja działalności gospodarczej-wiadomości wstępne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organizacyjno-</w:t>
      </w:r>
      <w:r w:rsidRPr="00D03302">
        <w:rPr>
          <w:rFonts w:ascii="Times New Roman" w:hAnsi="Times New Roman" w:cs="Times New Roman"/>
        </w:rPr>
        <w:t>prawne działalności podmiotów gospodarczych</w:t>
      </w:r>
    </w:p>
    <w:p w:rsid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 formy organizacyjno-</w:t>
      </w:r>
      <w:r w:rsidRPr="00D03302">
        <w:rPr>
          <w:rFonts w:ascii="Times New Roman" w:hAnsi="Times New Roman" w:cs="Times New Roman"/>
        </w:rPr>
        <w:t>prawnej na prowadzenie rachunkowości</w:t>
      </w:r>
    </w:p>
    <w:p w:rsid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finansowania działalności gospodarczej</w:t>
      </w:r>
    </w:p>
    <w:p w:rsid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Zarządzanie w przedsiębiorstwie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kondycji finansowej przedsiębiorstwa </w:t>
      </w:r>
      <w:r w:rsidR="00135F0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35F09">
        <w:rPr>
          <w:rFonts w:ascii="Times New Roman" w:hAnsi="Times New Roman" w:cs="Times New Roman"/>
        </w:rPr>
        <w:t>wskaźniki płynności finansowej, zadłużenia, rentowności, sprawności działania i ich interpretacja</w:t>
      </w:r>
      <w:bookmarkStart w:id="0" w:name="_GoBack"/>
      <w:bookmarkEnd w:id="0"/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1.2 Pojęcia wstępne rachunkowości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przedmiot i zakres rachunkowości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najważniejsze obszary regulowane ustawą o rachunkowości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podstawowe definicje wynikające z ustawy o rachunkowości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1.3 Charakterystyka aktywów i pasywów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aktywa trwałe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aktywa obrotowe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kapitały własne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03302">
        <w:rPr>
          <w:rFonts w:ascii="Times New Roman" w:hAnsi="Times New Roman" w:cs="Times New Roman"/>
        </w:rPr>
        <w:t>obowiązania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D03302">
        <w:rPr>
          <w:rFonts w:ascii="Times New Roman" w:hAnsi="Times New Roman" w:cs="Times New Roman"/>
        </w:rPr>
        <w:t>ównanie bilansowe i jego znaczenie w systemie rachunkowości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3302">
        <w:rPr>
          <w:rFonts w:ascii="Times New Roman" w:hAnsi="Times New Roman" w:cs="Times New Roman"/>
        </w:rPr>
        <w:t>ojęcie bilansu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1.4 Operacje gospodarcze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 xml:space="preserve">typy operacji gospodarczych 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różnice pomiędzy zdarzeniem a operacją gospodarczą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 xml:space="preserve">1.5 Dowody księgowe 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pojęcie i klasyfikacja dowodów księgowych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kontrola i dekretowanie dowodów księgowych</w:t>
      </w:r>
    </w:p>
    <w:p w:rsidR="00D03302" w:rsidRPr="00D03302" w:rsidRDefault="00D03302" w:rsidP="00D03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archiwizowanie dowodów księgowych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 xml:space="preserve">1.6 Księgi rachunkowe 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pojęcie i budowa konta, dzielenie, łączenie kont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konta bilansowe, wynikowe, pozabilansowe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zasady dokonywania zapisów księgowych w księgach rachunkowych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zestawienie obrotów i sald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 xml:space="preserve">1.7 </w:t>
      </w:r>
      <w:r>
        <w:rPr>
          <w:rFonts w:ascii="Times New Roman" w:hAnsi="Times New Roman" w:cs="Times New Roman"/>
        </w:rPr>
        <w:t xml:space="preserve">Podatek VAT </w:t>
      </w:r>
      <w:r w:rsidRPr="00D03302">
        <w:rPr>
          <w:rFonts w:ascii="Times New Roman" w:hAnsi="Times New Roman" w:cs="Times New Roman"/>
        </w:rPr>
        <w:t>- ogólne zasady opodatkowania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1.8 Ewidencja podstawowych operacji bilansowych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 xml:space="preserve">ewidencja środków trwałych oraz </w:t>
      </w:r>
      <w:proofErr w:type="spellStart"/>
      <w:r w:rsidRPr="00D03302">
        <w:rPr>
          <w:rFonts w:ascii="Times New Roman" w:hAnsi="Times New Roman" w:cs="Times New Roman"/>
        </w:rPr>
        <w:t>WNiP</w:t>
      </w:r>
      <w:proofErr w:type="spellEnd"/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ewidencja należności i środków pieniężnych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ewidencja kapitałów własnych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ewidencja zobowiązań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 xml:space="preserve">1.9 Ewidencja podstawowych operacji wynikowych 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ewidencja kosztów wg rodzaju (nawiązać do amortyzacji)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3302">
        <w:rPr>
          <w:rFonts w:ascii="Times New Roman" w:hAnsi="Times New Roman" w:cs="Times New Roman"/>
        </w:rPr>
        <w:t>odstawy rozliczeń z ZUS (wynagrodzenia + rozrachunki)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lastRenderedPageBreak/>
        <w:t>ewidencja kosztów funkcjonalnych (wg miejsc powstania)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ewidencja kosztów i przychodów z pozostałej działalności operacyjnej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ewidencja kosztów i przychodów z działalności finansowej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ewidencja podatku dochodowego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1.10 Zasady ustalania wyniku finansowego</w:t>
      </w:r>
    </w:p>
    <w:p w:rsidR="00D03302" w:rsidRP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elementy kształtujące wynik finansowy</w:t>
      </w:r>
    </w:p>
    <w:p w:rsidR="004347B6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03302">
        <w:rPr>
          <w:rFonts w:ascii="Times New Roman" w:hAnsi="Times New Roman" w:cs="Times New Roman"/>
        </w:rPr>
        <w:t>etapy i metod</w:t>
      </w:r>
      <w:r>
        <w:rPr>
          <w:rFonts w:ascii="Times New Roman" w:hAnsi="Times New Roman" w:cs="Times New Roman"/>
        </w:rPr>
        <w:t xml:space="preserve">y ustalania wyniku finansowego </w:t>
      </w:r>
      <w:r w:rsidRPr="00D03302">
        <w:rPr>
          <w:rFonts w:ascii="Times New Roman" w:hAnsi="Times New Roman" w:cs="Times New Roman"/>
        </w:rPr>
        <w:t xml:space="preserve"> - pojęcie rachunku zysków i strat</w:t>
      </w:r>
    </w:p>
    <w:p w:rsidR="00D03302" w:rsidRDefault="00D03302" w:rsidP="00D0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 Podstawy finansów publicznych</w:t>
      </w:r>
    </w:p>
    <w:p w:rsid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jednostki sektora finansów publicznych</w:t>
      </w:r>
    </w:p>
    <w:p w:rsid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budżetu, klasyfikacja budżetowa</w:t>
      </w:r>
    </w:p>
    <w:p w:rsid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podatku, elementy techniki podatkowej</w:t>
      </w:r>
    </w:p>
    <w:p w:rsid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budżetowe</w:t>
      </w:r>
    </w:p>
    <w:p w:rsidR="00D03302" w:rsidRDefault="00D03302" w:rsidP="00D0330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budżetowa – ustawa budżetowa i uchwała budżetowa</w:t>
      </w:r>
    </w:p>
    <w:p w:rsidR="00D03302" w:rsidRPr="00D03302" w:rsidRDefault="00D03302" w:rsidP="00D03302">
      <w:pPr>
        <w:rPr>
          <w:rFonts w:ascii="Times New Roman" w:hAnsi="Times New Roman" w:cs="Times New Roman"/>
        </w:rPr>
      </w:pPr>
    </w:p>
    <w:sectPr w:rsidR="00D03302" w:rsidRPr="00D03302" w:rsidSect="00D033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3DAA"/>
    <w:multiLevelType w:val="hybridMultilevel"/>
    <w:tmpl w:val="CBAE5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B2FA5"/>
    <w:multiLevelType w:val="hybridMultilevel"/>
    <w:tmpl w:val="03701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02"/>
    <w:rsid w:val="00135F09"/>
    <w:rsid w:val="00930397"/>
    <w:rsid w:val="00A826C9"/>
    <w:rsid w:val="00D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9A7A2-5DDF-4E29-B524-009F9CE8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Rogalska</dc:creator>
  <cp:keywords/>
  <dc:description/>
  <cp:lastModifiedBy>Joanna Rogalska</cp:lastModifiedBy>
  <cp:revision>1</cp:revision>
  <dcterms:created xsi:type="dcterms:W3CDTF">2021-06-08T07:20:00Z</dcterms:created>
  <dcterms:modified xsi:type="dcterms:W3CDTF">2021-06-08T07:31:00Z</dcterms:modified>
</cp:coreProperties>
</file>